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bookmarkStart w:colFirst="0" w:colLast="0" w:name="_heading=h.30j0zll" w:id="0"/>
      <w:bookmarkEnd w:id="0"/>
      <w:r w:rsidDel="00000000" w:rsidR="00000000" w:rsidRPr="00000000">
        <w:rPr>
          <w:b w:val="1"/>
          <w:sz w:val="28"/>
          <w:szCs w:val="28"/>
          <w:rtl w:val="0"/>
        </w:rPr>
        <w:t xml:space="preserve">Pump Priming Pro Forma</w:t>
      </w:r>
    </w:p>
    <w:p w:rsidR="00000000" w:rsidDel="00000000" w:rsidP="00000000" w:rsidRDefault="00000000" w:rsidRPr="00000000" w14:paraId="00000002">
      <w:pPr>
        <w:jc w:val="both"/>
        <w:rPr>
          <w:color w:val="222222"/>
        </w:rPr>
      </w:pPr>
      <w:r w:rsidDel="00000000" w:rsidR="00000000" w:rsidRPr="00000000">
        <w:rPr>
          <w:color w:val="222222"/>
          <w:rtl w:val="0"/>
        </w:rPr>
        <w:t xml:space="preserve">The aim of pump priming is to provide a limited number of growths (including any necessary calibrations) in order to try out ideas before a full grant application. As such proposals should typically aim for 1-3 deliverable structures. In order for us to understand the complexity of a potential request it is necessary to contact NEF (</w:t>
      </w:r>
      <w:hyperlink r:id="rId7">
        <w:r w:rsidDel="00000000" w:rsidR="00000000" w:rsidRPr="00000000">
          <w:rPr>
            <w:color w:val="0000ff"/>
            <w:u w:val="single"/>
            <w:rtl w:val="0"/>
          </w:rPr>
          <w:t xml:space="preserve">epitaxyfacility@sheffield.ac.uk</w:t>
        </w:r>
      </w:hyperlink>
      <w:r w:rsidDel="00000000" w:rsidR="00000000" w:rsidRPr="00000000">
        <w:rPr>
          <w:color w:val="222222"/>
          <w:rtl w:val="0"/>
        </w:rPr>
        <w:t xml:space="preserve">) before submitting this form. You will then be put in contact with the relevant member of the growth team for initial discussions.</w:t>
      </w:r>
    </w:p>
    <w:p w:rsidR="00000000" w:rsidDel="00000000" w:rsidP="00000000" w:rsidRDefault="00000000" w:rsidRPr="00000000" w14:paraId="00000003">
      <w:pPr>
        <w:spacing w:after="0" w:lineRule="auto"/>
        <w:jc w:val="both"/>
        <w:rPr>
          <w:color w:val="222222"/>
          <w:highlight w:val="white"/>
        </w:rPr>
      </w:pPr>
      <w:r w:rsidDel="00000000" w:rsidR="00000000" w:rsidRPr="00000000">
        <w:rPr>
          <w:rtl w:val="0"/>
        </w:rPr>
      </w:r>
    </w:p>
    <w:p w:rsidR="00000000" w:rsidDel="00000000" w:rsidP="00000000" w:rsidRDefault="00000000" w:rsidRPr="00000000" w14:paraId="00000004">
      <w:pPr>
        <w:jc w:val="both"/>
        <w:rPr>
          <w:color w:val="222222"/>
          <w:highlight w:val="white"/>
        </w:rPr>
      </w:pPr>
      <w:r w:rsidDel="00000000" w:rsidR="00000000" w:rsidRPr="00000000">
        <w:rPr>
          <w:color w:val="222222"/>
          <w:highlight w:val="white"/>
          <w:rtl w:val="0"/>
        </w:rPr>
        <w:t xml:space="preserve">With the exception of Results that relate to the epitaxial process the applicant's institution will own the Results and all Intellectual Property in them. The NEF partner delivering the work shall own Results that relate to the epitaxial process and may use any resulting new capability to improve the service it offers to the wider community. If you require a discussion of any potential IP related issues before the application is sent to the panel for evaluation, please tick this box.</w:t>
      </w:r>
    </w:p>
    <w:tbl>
      <w:tblPr>
        <w:tblStyle w:val="Table1"/>
        <w:tblW w:w="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tblGridChange w:id="0">
          <w:tblGrid>
            <w:gridCol w:w="40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color w:val="222222"/>
                <w:highlight w:val="white"/>
              </w:rPr>
            </w:pPr>
            <w:r w:rsidDel="00000000" w:rsidR="00000000" w:rsidRPr="00000000">
              <w:rPr>
                <w:rtl w:val="0"/>
              </w:rPr>
            </w:r>
          </w:p>
        </w:tc>
      </w:tr>
    </w:tbl>
    <w:p w:rsidR="00000000" w:rsidDel="00000000" w:rsidP="00000000" w:rsidRDefault="00000000" w:rsidRPr="00000000" w14:paraId="00000006">
      <w:pPr>
        <w:spacing w:after="0" w:lineRule="auto"/>
        <w:jc w:val="both"/>
        <w:rPr>
          <w:color w:val="222222"/>
        </w:rPr>
      </w:pPr>
      <w:r w:rsidDel="00000000" w:rsidR="00000000" w:rsidRPr="00000000">
        <w:rPr>
          <w:rtl w:val="0"/>
        </w:rPr>
      </w:r>
    </w:p>
    <w:p w:rsidR="00000000" w:rsidDel="00000000" w:rsidP="00000000" w:rsidRDefault="00000000" w:rsidRPr="00000000" w14:paraId="00000007">
      <w:pPr>
        <w:jc w:val="both"/>
        <w:rPr>
          <w:color w:val="222222"/>
        </w:rPr>
      </w:pPr>
      <w:r w:rsidDel="00000000" w:rsidR="00000000" w:rsidRPr="00000000">
        <w:rPr>
          <w:color w:val="222222"/>
          <w:rtl w:val="0"/>
        </w:rPr>
        <w:t xml:space="preserve">If your application is successful: Providing NEF's service to you as part the pump priming scheme establishes a collaboration between the two parties. Following guidelines from the EPSRC, it is expected that any research article arising from the research on wafers provided by the NEF is discussed with the appropriate members of the NEF in advance of publication. This is to determine and agree authorship or acknowledgment in relation to the intellectual input to the research results obtained.</w:t>
      </w:r>
    </w:p>
    <w:p w:rsidR="00000000" w:rsidDel="00000000" w:rsidP="00000000" w:rsidRDefault="00000000" w:rsidRPr="00000000" w14:paraId="00000008">
      <w:pPr>
        <w:spacing w:after="0" w:lineRule="auto"/>
        <w:jc w:val="both"/>
        <w:rPr>
          <w:color w:val="222222"/>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3"/>
        <w:gridCol w:w="7087"/>
        <w:tblGridChange w:id="0">
          <w:tblGrid>
            <w:gridCol w:w="2263"/>
            <w:gridCol w:w="7087"/>
          </w:tblGrid>
        </w:tblGridChange>
      </w:tblGrid>
      <w:tr>
        <w:trPr>
          <w:cantSplit w:val="0"/>
          <w:tblHeader w:val="0"/>
        </w:trPr>
        <w:tc>
          <w:tcPr/>
          <w:p w:rsidR="00000000" w:rsidDel="00000000" w:rsidP="00000000" w:rsidRDefault="00000000" w:rsidRPr="00000000" w14:paraId="00000009">
            <w:pPr>
              <w:spacing w:after="60" w:before="60" w:lineRule="auto"/>
              <w:ind w:left="113" w:firstLine="0"/>
              <w:rPr>
                <w:b w:val="1"/>
              </w:rPr>
            </w:pPr>
            <w:r w:rsidDel="00000000" w:rsidR="00000000" w:rsidRPr="00000000">
              <w:rPr>
                <w:b w:val="1"/>
                <w:rtl w:val="0"/>
              </w:rPr>
              <w:t xml:space="preserve">Name of applicant</w:t>
            </w:r>
          </w:p>
        </w:tc>
        <w:tc>
          <w:tcPr/>
          <w:p w:rsidR="00000000" w:rsidDel="00000000" w:rsidP="00000000" w:rsidRDefault="00000000" w:rsidRPr="00000000" w14:paraId="0000000A">
            <w:pPr>
              <w:spacing w:after="60" w:before="60" w:lineRule="auto"/>
              <w:ind w:left="113" w:firstLine="0"/>
              <w:rPr/>
            </w:pPr>
            <w:r w:rsidDel="00000000" w:rsidR="00000000" w:rsidRPr="00000000">
              <w:rPr>
                <w:rtl w:val="0"/>
              </w:rPr>
            </w:r>
          </w:p>
        </w:tc>
      </w:tr>
      <w:tr>
        <w:trPr>
          <w:cantSplit w:val="0"/>
          <w:tblHeader w:val="0"/>
        </w:trPr>
        <w:tc>
          <w:tcPr/>
          <w:p w:rsidR="00000000" w:rsidDel="00000000" w:rsidP="00000000" w:rsidRDefault="00000000" w:rsidRPr="00000000" w14:paraId="0000000B">
            <w:pPr>
              <w:spacing w:after="60" w:before="60" w:lineRule="auto"/>
              <w:ind w:left="113" w:firstLine="0"/>
              <w:rPr>
                <w:b w:val="1"/>
              </w:rPr>
            </w:pPr>
            <w:r w:rsidDel="00000000" w:rsidR="00000000" w:rsidRPr="00000000">
              <w:rPr>
                <w:b w:val="1"/>
                <w:rtl w:val="0"/>
              </w:rPr>
              <w:t xml:space="preserve">Institute</w:t>
            </w:r>
          </w:p>
        </w:tc>
        <w:tc>
          <w:tcPr/>
          <w:p w:rsidR="00000000" w:rsidDel="00000000" w:rsidP="00000000" w:rsidRDefault="00000000" w:rsidRPr="00000000" w14:paraId="0000000C">
            <w:pPr>
              <w:spacing w:after="60" w:before="60" w:lineRule="auto"/>
              <w:ind w:left="113" w:firstLine="0"/>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after="60" w:before="60" w:lineRule="auto"/>
              <w:ind w:left="113" w:firstLine="0"/>
              <w:rPr>
                <w:b w:val="1"/>
              </w:rPr>
            </w:pPr>
            <w:r w:rsidDel="00000000" w:rsidR="00000000" w:rsidRPr="00000000">
              <w:rPr>
                <w:b w:val="1"/>
                <w:rtl w:val="0"/>
              </w:rPr>
              <w:t xml:space="preserve">Proposed title of the project </w:t>
            </w:r>
          </w:p>
        </w:tc>
        <w:tc>
          <w:tcPr/>
          <w:p w:rsidR="00000000" w:rsidDel="00000000" w:rsidP="00000000" w:rsidRDefault="00000000" w:rsidRPr="00000000" w14:paraId="0000000E">
            <w:pPr>
              <w:spacing w:after="60" w:before="60" w:lineRule="auto"/>
              <w:ind w:left="113" w:firstLine="0"/>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after="60" w:before="60" w:lineRule="auto"/>
              <w:ind w:left="113" w:firstLine="0"/>
              <w:rPr>
                <w:b w:val="1"/>
              </w:rPr>
            </w:pPr>
            <w:r w:rsidDel="00000000" w:rsidR="00000000" w:rsidRPr="00000000">
              <w:rPr>
                <w:b w:val="1"/>
                <w:rtl w:val="0"/>
              </w:rPr>
              <w:t xml:space="preserve">NEF contact(s) you have discussed this application with</w:t>
            </w:r>
          </w:p>
        </w:tc>
        <w:tc>
          <w:tcPr/>
          <w:p w:rsidR="00000000" w:rsidDel="00000000" w:rsidP="00000000" w:rsidRDefault="00000000" w:rsidRPr="00000000" w14:paraId="00000010">
            <w:pPr>
              <w:spacing w:after="60" w:before="60" w:lineRule="auto"/>
              <w:ind w:left="113" w:firstLine="0"/>
              <w:rPr/>
            </w:pPr>
            <w:r w:rsidDel="00000000" w:rsidR="00000000" w:rsidRPr="00000000">
              <w:rPr>
                <w:rtl w:val="0"/>
              </w:rPr>
            </w:r>
          </w:p>
        </w:tc>
      </w:tr>
      <w:tr>
        <w:trPr>
          <w:cantSplit w:val="0"/>
          <w:tblHeader w:val="0"/>
        </w:trPr>
        <w:tc>
          <w:tcPr/>
          <w:p w:rsidR="00000000" w:rsidDel="00000000" w:rsidP="00000000" w:rsidRDefault="00000000" w:rsidRPr="00000000" w14:paraId="00000011">
            <w:pPr>
              <w:spacing w:after="60" w:before="60" w:lineRule="auto"/>
              <w:ind w:left="113" w:firstLine="0"/>
              <w:rPr>
                <w:b w:val="1"/>
              </w:rPr>
            </w:pPr>
            <w:r w:rsidDel="00000000" w:rsidR="00000000" w:rsidRPr="00000000">
              <w:rPr>
                <w:b w:val="1"/>
                <w:color w:val="222222"/>
                <w:highlight w:val="white"/>
                <w:rtl w:val="0"/>
              </w:rPr>
              <w:t xml:space="preserve">Would you be considered an Early Career Researcher by UKRI? </w:t>
            </w:r>
            <w:r w:rsidDel="00000000" w:rsidR="00000000" w:rsidRPr="00000000">
              <w:rPr>
                <w:rtl w:val="0"/>
              </w:rPr>
            </w:r>
          </w:p>
        </w:tc>
        <w:tc>
          <w:tcPr/>
          <w:p w:rsidR="00000000" w:rsidDel="00000000" w:rsidP="00000000" w:rsidRDefault="00000000" w:rsidRPr="00000000" w14:paraId="00000012">
            <w:pPr>
              <w:spacing w:after="60" w:before="6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371475" cy="361950"/>
                      <wp:effectExtent b="0" l="0" r="0" t="0"/>
                      <wp:wrapNone/>
                      <wp:docPr id="2142961778" name=""/>
                      <a:graphic>
                        <a:graphicData uri="http://schemas.microsoft.com/office/word/2010/wordprocessingShape">
                          <wps:wsp>
                            <wps:cNvSpPr/>
                            <wps:cNvPr id="3" name="Shape 3"/>
                            <wps:spPr>
                              <a:xfrm>
                                <a:off x="5165025" y="3603788"/>
                                <a:ext cx="361950" cy="3524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371475" cy="361950"/>
                      <wp:effectExtent b="0" l="0" r="0" t="0"/>
                      <wp:wrapNone/>
                      <wp:docPr id="214296177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71475" cy="361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25400</wp:posOffset>
                      </wp:positionV>
                      <wp:extent cx="371475" cy="361950"/>
                      <wp:effectExtent b="0" l="0" r="0" t="0"/>
                      <wp:wrapNone/>
                      <wp:docPr id="2142961777" name=""/>
                      <a:graphic>
                        <a:graphicData uri="http://schemas.microsoft.com/office/word/2010/wordprocessingShape">
                          <wps:wsp>
                            <wps:cNvSpPr/>
                            <wps:cNvPr id="2" name="Shape 2"/>
                            <wps:spPr>
                              <a:xfrm>
                                <a:off x="5165025" y="3603788"/>
                                <a:ext cx="361950" cy="3524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25400</wp:posOffset>
                      </wp:positionV>
                      <wp:extent cx="371475" cy="361950"/>
                      <wp:effectExtent b="0" l="0" r="0" t="0"/>
                      <wp:wrapNone/>
                      <wp:docPr id="214296177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71475" cy="361950"/>
                              </a:xfrm>
                              <a:prstGeom prst="rect"/>
                              <a:ln/>
                            </pic:spPr>
                          </pic:pic>
                        </a:graphicData>
                      </a:graphic>
                    </wp:anchor>
                  </w:drawing>
                </mc:Fallback>
              </mc:AlternateConten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Yes               No </w:t>
            </w:r>
          </w:p>
        </w:tc>
      </w:tr>
    </w:tbl>
    <w:p w:rsidR="00000000" w:rsidDel="00000000" w:rsidP="00000000" w:rsidRDefault="00000000" w:rsidRPr="00000000" w14:paraId="00000015">
      <w:pPr>
        <w:rPr/>
      </w:pPr>
      <w:r w:rsidDel="00000000" w:rsidR="00000000" w:rsidRPr="00000000">
        <w:br w:type="page"/>
      </w: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16">
            <w:pPr>
              <w:spacing w:after="60" w:before="60" w:lineRule="auto"/>
              <w:ind w:left="113" w:firstLine="0"/>
              <w:rPr>
                <w:b w:val="1"/>
              </w:rPr>
            </w:pPr>
            <w:r w:rsidDel="00000000" w:rsidR="00000000" w:rsidRPr="00000000">
              <w:rPr>
                <w:b w:val="1"/>
                <w:rtl w:val="0"/>
              </w:rPr>
              <w:t xml:space="preserve">What is the scientific and technical background to the proposed pump-priming activity? </w:t>
            </w:r>
          </w:p>
          <w:p w:rsidR="00000000" w:rsidDel="00000000" w:rsidP="00000000" w:rsidRDefault="00000000" w:rsidRPr="00000000" w14:paraId="00000017">
            <w:pPr>
              <w:spacing w:after="60" w:before="60" w:lineRule="auto"/>
              <w:ind w:left="113" w:firstLine="0"/>
              <w:rPr>
                <w:b w:val="1"/>
              </w:rPr>
            </w:pPr>
            <w:r w:rsidDel="00000000" w:rsidR="00000000" w:rsidRPr="00000000">
              <w:rPr>
                <w:b w:val="1"/>
                <w:rtl w:val="0"/>
              </w:rPr>
              <w:t xml:space="preserve">(200 words max)</w:t>
            </w:r>
          </w:p>
        </w:tc>
      </w:tr>
      <w:tr>
        <w:trPr>
          <w:cantSplit w:val="0"/>
          <w:trHeight w:val="2593" w:hRule="atLeast"/>
          <w:tblHeader w:val="0"/>
        </w:trPr>
        <w:tc>
          <w:tcPr/>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60" w:before="60" w:lineRule="auto"/>
              <w:ind w:left="113" w:firstLine="0"/>
              <w:rPr>
                <w:b w:val="1"/>
              </w:rPr>
            </w:pPr>
            <w:r w:rsidDel="00000000" w:rsidR="00000000" w:rsidRPr="00000000">
              <w:rPr>
                <w:b w:val="1"/>
                <w:rtl w:val="0"/>
              </w:rPr>
              <w:t xml:space="preserve">Indicate whether this proposal could be considered materials development, novel device structure design/testing or establishing a capability within the NEF.  </w:t>
            </w:r>
          </w:p>
        </w:tc>
      </w:tr>
      <w:tr>
        <w:trPr>
          <w:cantSplit w:val="0"/>
          <w:tblHeader w:val="0"/>
        </w:trPr>
        <w:tc>
          <w:tcPr/>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after="60" w:before="60" w:lineRule="auto"/>
              <w:ind w:left="113" w:firstLine="0"/>
              <w:rPr>
                <w:b w:val="1"/>
              </w:rPr>
            </w:pPr>
            <w:r w:rsidDel="00000000" w:rsidR="00000000" w:rsidRPr="00000000">
              <w:rPr>
                <w:b w:val="1"/>
                <w:rtl w:val="0"/>
              </w:rPr>
              <w:t xml:space="preserve">How many wafers are requested? (Delivered Structures)</w:t>
            </w:r>
          </w:p>
        </w:tc>
      </w:tr>
      <w:tr>
        <w:trPr>
          <w:cantSplit w:val="0"/>
          <w:tblHeader w:val="0"/>
        </w:trPr>
        <w:tc>
          <w:tcPr/>
          <w:p w:rsidR="00000000" w:rsidDel="00000000" w:rsidP="00000000" w:rsidRDefault="00000000" w:rsidRPr="00000000" w14:paraId="00000023">
            <w:pPr>
              <w:rPr/>
            </w:pPr>
            <w:r w:rsidDel="00000000" w:rsidR="00000000" w:rsidRPr="00000000">
              <w:rPr>
                <w:rtl w:val="0"/>
              </w:rPr>
            </w:r>
          </w:p>
        </w:tc>
      </w:tr>
      <w:tr>
        <w:trPr>
          <w:cantSplit w:val="0"/>
          <w:tblHeader w:val="0"/>
        </w:trPr>
        <w:tc>
          <w:tcPr/>
          <w:p w:rsidR="00000000" w:rsidDel="00000000" w:rsidP="00000000" w:rsidRDefault="00000000" w:rsidRPr="00000000" w14:paraId="00000024">
            <w:pPr>
              <w:ind w:left="113" w:firstLine="0"/>
              <w:rPr>
                <w:b w:val="1"/>
              </w:rPr>
            </w:pPr>
            <w:r w:rsidDel="00000000" w:rsidR="00000000" w:rsidRPr="00000000">
              <w:rPr>
                <w:b w:val="1"/>
                <w:rtl w:val="0"/>
              </w:rPr>
              <w:t xml:space="preserve">Specifically, what are the details of each wafer?</w:t>
            </w:r>
          </w:p>
          <w:p w:rsidR="00000000" w:rsidDel="00000000" w:rsidP="00000000" w:rsidRDefault="00000000" w:rsidRPr="00000000" w14:paraId="00000025">
            <w:pPr>
              <w:ind w:left="113" w:firstLine="0"/>
              <w:rPr>
                <w:b w:val="1"/>
              </w:rPr>
            </w:pPr>
            <w:r w:rsidDel="00000000" w:rsidR="00000000" w:rsidRPr="00000000">
              <w:rPr>
                <w:b w:val="1"/>
                <w:rtl w:val="0"/>
              </w:rPr>
              <w:t xml:space="preserve">e.g. substrate, layer structure, compositional or thickness tolerances of layers, doping levels</w:t>
            </w:r>
          </w:p>
        </w:tc>
      </w:tr>
      <w:tr>
        <w:trPr>
          <w:cantSplit w:val="0"/>
          <w:tblHeader w:val="0"/>
        </w:trPr>
        <w:tc>
          <w:tcPr/>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tc>
      </w:tr>
      <w:tr>
        <w:trPr>
          <w:cantSplit w:val="0"/>
          <w:tblHeader w:val="0"/>
        </w:trPr>
        <w:tc>
          <w:tcPr/>
          <w:p w:rsidR="00000000" w:rsidDel="00000000" w:rsidP="00000000" w:rsidRDefault="00000000" w:rsidRPr="00000000" w14:paraId="0000002C">
            <w:pPr>
              <w:spacing w:after="60" w:before="60" w:lineRule="auto"/>
              <w:ind w:left="113" w:firstLine="0"/>
              <w:rPr>
                <w:b w:val="1"/>
              </w:rPr>
            </w:pPr>
            <w:r w:rsidDel="00000000" w:rsidR="00000000" w:rsidRPr="00000000">
              <w:rPr>
                <w:b w:val="1"/>
                <w:rtl w:val="0"/>
              </w:rPr>
              <w:t xml:space="preserve">What characterisation will be required to assess the grown wafers and do you have access to such facilities if required to provide feedback on calibration structures? </w:t>
            </w:r>
          </w:p>
        </w:tc>
      </w:tr>
      <w:tr>
        <w:trPr>
          <w:cantSplit w:val="0"/>
          <w:tblHeader w:val="0"/>
        </w:trPr>
        <w:tc>
          <w:tcPr/>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tc>
      </w:tr>
    </w:tbl>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34">
            <w:pPr>
              <w:spacing w:after="60" w:before="60" w:lineRule="auto"/>
              <w:ind w:left="113" w:firstLine="0"/>
              <w:rPr>
                <w:b w:val="1"/>
              </w:rPr>
            </w:pPr>
            <w:r w:rsidDel="00000000" w:rsidR="00000000" w:rsidRPr="00000000">
              <w:rPr>
                <w:b w:val="1"/>
                <w:rtl w:val="0"/>
              </w:rPr>
              <w:t xml:space="preserve">What are the expected outcomes of the pump priming activity and how will success be measured? </w:t>
            </w:r>
          </w:p>
        </w:tc>
      </w:tr>
      <w:tr>
        <w:trPr>
          <w:cantSplit w:val="0"/>
          <w:tblHeader w:val="0"/>
        </w:trPr>
        <w:tc>
          <w:tcPr/>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c>
      </w:tr>
      <w:tr>
        <w:trPr>
          <w:cantSplit w:val="0"/>
          <w:tblHeader w:val="0"/>
        </w:trPr>
        <w:tc>
          <w:tcPr/>
          <w:p w:rsidR="00000000" w:rsidDel="00000000" w:rsidP="00000000" w:rsidRDefault="00000000" w:rsidRPr="00000000" w14:paraId="0000003A">
            <w:pPr>
              <w:spacing w:after="60" w:before="60" w:lineRule="auto"/>
              <w:ind w:left="113" w:firstLine="0"/>
              <w:rPr>
                <w:b w:val="1"/>
              </w:rPr>
            </w:pPr>
            <w:r w:rsidDel="00000000" w:rsidR="00000000" w:rsidRPr="00000000">
              <w:rPr>
                <w:b w:val="1"/>
                <w:rtl w:val="0"/>
              </w:rPr>
              <w:t xml:space="preserve">Explain how the pump priming activity will lead to a full funding application and what will be its scope. (200 words max), e.g. number of wafers; fabrication processes; devices etc., required in the proposal </w:t>
            </w:r>
          </w:p>
          <w:p w:rsidR="00000000" w:rsidDel="00000000" w:rsidP="00000000" w:rsidRDefault="00000000" w:rsidRPr="00000000" w14:paraId="0000003B">
            <w:pPr>
              <w:spacing w:after="60" w:before="60" w:lineRule="auto"/>
              <w:ind w:left="113" w:firstLine="0"/>
              <w:rPr>
                <w:b w:val="1"/>
              </w:rPr>
            </w:pPr>
            <w:r w:rsidDel="00000000" w:rsidR="00000000" w:rsidRPr="00000000">
              <w:rPr>
                <w:b w:val="1"/>
                <w:rtl w:val="0"/>
              </w:rPr>
              <w:t xml:space="preserve">NB. Applicants must first seek confirmation from NEF personnel that this feasibility application is within the capability of the Facility. </w:t>
            </w:r>
          </w:p>
        </w:tc>
      </w:tr>
      <w:tr>
        <w:trPr>
          <w:cantSplit w:val="0"/>
          <w:trHeight w:val="2143" w:hRule="atLeast"/>
          <w:tblHeader w:val="0"/>
        </w:trPr>
        <w:tc>
          <w:tcPr/>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tc>
      </w:tr>
      <w:tr>
        <w:trPr>
          <w:cantSplit w:val="0"/>
          <w:tblHeader w:val="0"/>
        </w:trPr>
        <w:tc>
          <w:tcPr/>
          <w:p w:rsidR="00000000" w:rsidDel="00000000" w:rsidP="00000000" w:rsidRDefault="00000000" w:rsidRPr="00000000" w14:paraId="00000046">
            <w:pPr>
              <w:spacing w:after="60" w:before="60" w:lineRule="auto"/>
              <w:ind w:left="113" w:firstLine="0"/>
              <w:rPr>
                <w:b w:val="1"/>
              </w:rPr>
            </w:pPr>
            <w:r w:rsidDel="00000000" w:rsidR="00000000" w:rsidRPr="00000000">
              <w:rPr>
                <w:b w:val="1"/>
                <w:rtl w:val="0"/>
              </w:rPr>
              <w:t xml:space="preserve">Are there already well-established growth activities in this area in research groups in the UK or worldwide?</w:t>
            </w:r>
          </w:p>
        </w:tc>
      </w:tr>
      <w:tr>
        <w:trPr>
          <w:cantSplit w:val="0"/>
          <w:trHeight w:val="2198" w:hRule="atLeast"/>
          <w:tblHeader w:val="0"/>
        </w:trPr>
        <w:tc>
          <w:tcPr/>
          <w:p w:rsidR="00000000" w:rsidDel="00000000" w:rsidP="00000000" w:rsidRDefault="00000000" w:rsidRPr="00000000" w14:paraId="00000047">
            <w:pPr>
              <w:spacing w:after="60" w:before="60" w:lineRule="auto"/>
              <w:ind w:left="113" w:firstLine="0"/>
              <w:rPr>
                <w:b w:val="1"/>
              </w:rPr>
            </w:pPr>
            <w:r w:rsidDel="00000000" w:rsidR="00000000" w:rsidRPr="00000000">
              <w:rPr>
                <w:rtl w:val="0"/>
              </w:rPr>
            </w:r>
          </w:p>
        </w:tc>
      </w:tr>
      <w:tr>
        <w:trPr>
          <w:cantSplit w:val="0"/>
          <w:trHeight w:val="204" w:hRule="atLeast"/>
          <w:tblHeader w:val="0"/>
        </w:trPr>
        <w:tc>
          <w:tcPr/>
          <w:p w:rsidR="00000000" w:rsidDel="00000000" w:rsidP="00000000" w:rsidRDefault="00000000" w:rsidRPr="00000000" w14:paraId="00000048">
            <w:pPr>
              <w:rPr>
                <w:b w:val="1"/>
              </w:rPr>
            </w:pPr>
            <w:r w:rsidDel="00000000" w:rsidR="00000000" w:rsidRPr="00000000">
              <w:rPr>
                <w:b w:val="1"/>
                <w:rtl w:val="0"/>
              </w:rPr>
              <w:t xml:space="preserve">Has the user already completed a pump-priming project before? If yes, what was its outcome?</w:t>
            </w:r>
          </w:p>
        </w:tc>
      </w:tr>
      <w:tr>
        <w:trPr>
          <w:cantSplit w:val="0"/>
          <w:trHeight w:val="20" w:hRule="atLeast"/>
          <w:tblHeader w:val="0"/>
        </w:trPr>
        <w:tc>
          <w:tcPr/>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tc>
      </w:tr>
    </w:tbl>
    <w:p w:rsidR="00000000" w:rsidDel="00000000" w:rsidP="00000000" w:rsidRDefault="00000000" w:rsidRPr="00000000" w14:paraId="0000004F">
      <w:pPr>
        <w:rPr/>
      </w:pPr>
      <w:r w:rsidDel="00000000" w:rsidR="00000000" w:rsidRPr="00000000">
        <w:br w:type="page"/>
      </w: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50">
            <w:pPr>
              <w:spacing w:after="60" w:before="60" w:lineRule="auto"/>
              <w:ind w:left="113" w:firstLine="0"/>
              <w:rPr>
                <w:b w:val="1"/>
              </w:rPr>
            </w:pPr>
            <w:r w:rsidDel="00000000" w:rsidR="00000000" w:rsidRPr="00000000">
              <w:rPr>
                <w:b w:val="1"/>
                <w:rtl w:val="0"/>
              </w:rPr>
              <w:t xml:space="preserve">Comments from NEF personnel associated with the pump prime activity </w:t>
            </w:r>
          </w:p>
        </w:tc>
      </w:tr>
      <w:tr>
        <w:trPr>
          <w:cantSplit w:val="0"/>
          <w:trHeight w:val="1399" w:hRule="atLeast"/>
          <w:tblHeader w:val="0"/>
        </w:trPr>
        <w:tc>
          <w:tcPr/>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rPr>
          <w:sz w:val="18"/>
          <w:szCs w:val="18"/>
        </w:rPr>
      </w:pPr>
      <w:r w:rsidDel="00000000" w:rsidR="00000000" w:rsidRPr="00000000">
        <w:rPr>
          <w:rtl w:val="0"/>
        </w:rPr>
      </w:r>
    </w:p>
    <w:p w:rsidR="00000000" w:rsidDel="00000000" w:rsidP="00000000" w:rsidRDefault="00000000" w:rsidRPr="00000000" w14:paraId="0000005A">
      <w:pPr>
        <w:rPr>
          <w:sz w:val="18"/>
          <w:szCs w:val="18"/>
        </w:rPr>
      </w:pPr>
      <w:r w:rsidDel="00000000" w:rsidR="00000000" w:rsidRPr="00000000">
        <w:rPr>
          <w:sz w:val="18"/>
          <w:szCs w:val="18"/>
          <w:rtl w:val="0"/>
        </w:rPr>
        <w:t xml:space="preserve">Name of applicant completing the form: ………………………………………………………..</w:t>
      </w:r>
    </w:p>
    <w:p w:rsidR="00000000" w:rsidDel="00000000" w:rsidP="00000000" w:rsidRDefault="00000000" w:rsidRPr="00000000" w14:paraId="0000005B">
      <w:pPr>
        <w:rPr>
          <w:sz w:val="18"/>
          <w:szCs w:val="18"/>
        </w:rPr>
      </w:pPr>
      <w:r w:rsidDel="00000000" w:rsidR="00000000" w:rsidRPr="00000000">
        <w:rPr>
          <w:sz w:val="18"/>
          <w:szCs w:val="18"/>
          <w:rtl w:val="0"/>
        </w:rPr>
        <w:t xml:space="preserve">Date: ……………………………....</w:t>
      </w:r>
    </w:p>
    <w:p w:rsidR="00000000" w:rsidDel="00000000" w:rsidP="00000000" w:rsidRDefault="00000000" w:rsidRPr="00000000" w14:paraId="0000005C">
      <w:pPr>
        <w:rPr>
          <w:sz w:val="18"/>
          <w:szCs w:val="18"/>
        </w:rPr>
      </w:pPr>
      <w:r w:rsidDel="00000000" w:rsidR="00000000" w:rsidRPr="00000000">
        <w:rPr>
          <w:sz w:val="18"/>
          <w:szCs w:val="18"/>
          <w:rtl w:val="0"/>
        </w:rPr>
        <w:t xml:space="preserve">Please send the completed form to the email address: </w:t>
      </w:r>
      <w:hyperlink r:id="rId9">
        <w:r w:rsidDel="00000000" w:rsidR="00000000" w:rsidRPr="00000000">
          <w:rPr>
            <w:color w:val="0000ff"/>
            <w:sz w:val="18"/>
            <w:szCs w:val="18"/>
            <w:u w:val="single"/>
            <w:rtl w:val="0"/>
          </w:rPr>
          <w:t xml:space="preserve">epitaxyfacility@sheffield.ac.uk</w:t>
        </w:r>
      </w:hyperlink>
      <w:r w:rsidDel="00000000" w:rsidR="00000000" w:rsidRPr="00000000">
        <w:rPr>
          <w:rtl w:val="0"/>
        </w:rPr>
      </w:r>
    </w:p>
    <w:p w:rsidR="00000000" w:rsidDel="00000000" w:rsidP="00000000" w:rsidRDefault="00000000" w:rsidRPr="00000000" w14:paraId="0000005D">
      <w:pPr>
        <w:rPr>
          <w:sz w:val="18"/>
          <w:szCs w:val="18"/>
        </w:rPr>
      </w:pPr>
      <w:r w:rsidDel="00000000" w:rsidR="00000000" w:rsidRPr="00000000">
        <w:rPr>
          <w:rtl w:val="0"/>
        </w:rPr>
      </w:r>
    </w:p>
    <w:sectPr>
      <w:headerReference r:id="rId10" w:type="default"/>
      <w:footerReference r:id="rId11" w:type="default"/>
      <w:pgSz w:h="15840" w:w="12240" w:orient="portrait"/>
      <w:pgMar w:bottom="1440" w:top="1440" w:left="1440" w:right="1440" w:header="45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QR-OPS-11A - Pump Prime Proforma_v2.0</w:t>
      <w:tab/>
      <w:t xml:space="preserve"> </w:t>
    </w:r>
    <w:r w:rsidDel="00000000" w:rsidR="00000000" w:rsidRPr="00000000">
      <w:rPr>
        <w:rtl w:val="0"/>
      </w:rPr>
      <w:t xml:space="preserve">Owner: E M Sala</w:t>
    </w:r>
    <w:r w:rsidDel="00000000" w:rsidR="00000000" w:rsidRPr="00000000">
      <w:rPr>
        <w:color w:val="000000"/>
        <w:rtl w:val="0"/>
      </w:rPr>
      <w:tab/>
    </w:r>
    <w:r w:rsidDel="00000000" w:rsidR="00000000" w:rsidRPr="00000000">
      <w:rPr>
        <w:rtl w:val="0"/>
      </w:rPr>
      <w:t xml:space="preserve">Review Date: 11/08/2025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drawing>
        <wp:inline distB="0" distT="0" distL="0" distR="0">
          <wp:extent cx="5651500" cy="526130"/>
          <wp:effectExtent b="0" l="0" r="0" t="0"/>
          <wp:docPr id="214296177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51500" cy="52613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404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40458"/>
  </w:style>
  <w:style w:type="paragraph" w:styleId="Footer">
    <w:name w:val="footer"/>
    <w:basedOn w:val="Normal"/>
    <w:link w:val="FooterChar"/>
    <w:uiPriority w:val="99"/>
    <w:unhideWhenUsed w:val="1"/>
    <w:rsid w:val="007404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40458"/>
  </w:style>
  <w:style w:type="character" w:styleId="Hyperlink">
    <w:name w:val="Hyperlink"/>
    <w:basedOn w:val="DefaultParagraphFont"/>
    <w:uiPriority w:val="99"/>
    <w:unhideWhenUsed w:val="1"/>
    <w:rsid w:val="0022652C"/>
    <w:rPr>
      <w:color w:val="0000ff" w:themeColor="hyperlink"/>
      <w:u w:val="single"/>
    </w:r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epitaxyfacility@sheffield.ac.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pitaxyfacility@sheffield.ac.uk" TargetMode="Externa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4QR8jlZ7t1xYWzDs+72LGzRQA==">CgMxLjAyCWguMzBqMHpsbDgAciExclNKX1hEUG9obDJzdWhPWXB0Z3hYaXZHNklIQzRCbE4=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2025-08-11T15:59:00Z</dcterms:created>
  <dc:creator>Ian Farrer</dc:creator>
</cp:coreProperties>
</file>